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center"/>
        <w:textAlignment w:val="auto"/>
        <w:rPr>
          <w:rFonts w:hint="eastAsia" w:ascii="方正小标宋简体" w:hAnsi="黑体" w:eastAsia="方正小标宋简体" w:cs="方正小标宋简体"/>
          <w:sz w:val="36"/>
          <w:szCs w:val="36"/>
          <w:lang w:val="en-US" w:eastAsia="zh-CN"/>
        </w:rPr>
      </w:pPr>
      <w:r>
        <w:rPr>
          <w:rFonts w:hint="eastAsia" w:ascii="方正小标宋简体" w:hAnsi="黑体" w:eastAsia="方正小标宋简体" w:cs="方正小标宋简体"/>
          <w:sz w:val="36"/>
          <w:szCs w:val="36"/>
        </w:rPr>
        <w:t>省教育厅“百校千企科技攻关揭榜挂帅榜单”</w:t>
      </w:r>
      <w:r>
        <w:rPr>
          <w:rFonts w:hint="eastAsia" w:ascii="方正小标宋简体" w:hAnsi="黑体" w:eastAsia="方正小标宋简体" w:cs="方正小标宋简体"/>
          <w:sz w:val="36"/>
          <w:szCs w:val="36"/>
          <w:lang w:val="en-US" w:eastAsia="zh-CN"/>
        </w:rPr>
        <w:t>1</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center"/>
        <w:textAlignment w:val="auto"/>
        <w:rPr>
          <w:rFonts w:hint="eastAsia" w:ascii="方正小标宋简体" w:hAnsi="黑体" w:eastAsia="方正小标宋简体" w:cs="方正小标宋简体"/>
          <w:sz w:val="36"/>
          <w:szCs w:val="36"/>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Times New Roman" w:hAnsi="Times New Roman" w:eastAsia="黑体" w:cs="Times New Roman"/>
          <w:kern w:val="2"/>
          <w:sz w:val="32"/>
          <w:szCs w:val="32"/>
        </w:rPr>
      </w:pPr>
      <w:r>
        <w:rPr>
          <w:rFonts w:ascii="Times New Roman" w:hAnsi="Times New Roman" w:eastAsia="黑体" w:cs="Times New Roman"/>
          <w:kern w:val="2"/>
          <w:sz w:val="32"/>
          <w:szCs w:val="32"/>
        </w:rPr>
        <w:t>一、技术需求名称</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Style w:val="8"/>
          <w:rFonts w:ascii="仿宋" w:hAnsi="仿宋"/>
          <w:sz w:val="32"/>
          <w:szCs w:val="32"/>
        </w:rPr>
      </w:pPr>
      <w:r>
        <w:rPr>
          <w:rStyle w:val="8"/>
          <w:rFonts w:hint="eastAsia" w:ascii="仿宋" w:hAnsi="仿宋" w:eastAsia="仿宋" w:cs="仿宋"/>
          <w:sz w:val="32"/>
          <w:szCs w:val="32"/>
        </w:rPr>
        <w:t>高强度8030电工圆铝杆</w:t>
      </w:r>
      <w:r>
        <w:rPr>
          <w:rStyle w:val="8"/>
          <w:rFonts w:hint="eastAsia" w:ascii="仿宋" w:hAnsi="仿宋" w:eastAsia="仿宋" w:cs="仿宋"/>
          <w:sz w:val="32"/>
          <w:szCs w:val="32"/>
          <w:lang w:val="en-US"/>
        </w:rPr>
        <w:t>关键</w:t>
      </w:r>
      <w:r>
        <w:rPr>
          <w:rStyle w:val="8"/>
          <w:rFonts w:hint="eastAsia" w:ascii="仿宋" w:hAnsi="仿宋" w:eastAsia="仿宋" w:cs="仿宋"/>
          <w:sz w:val="32"/>
          <w:szCs w:val="32"/>
        </w:rPr>
        <w:t>技术研发</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Times New Roman" w:hAnsi="Times New Roman" w:eastAsia="黑体" w:cs="Times New Roman"/>
          <w:kern w:val="2"/>
          <w:sz w:val="32"/>
          <w:szCs w:val="32"/>
        </w:rPr>
      </w:pPr>
      <w:r>
        <w:rPr>
          <w:rFonts w:ascii="Times New Roman" w:hAnsi="Times New Roman" w:eastAsia="黑体" w:cs="Times New Roman"/>
          <w:kern w:val="2"/>
          <w:sz w:val="32"/>
          <w:szCs w:val="32"/>
        </w:rPr>
        <w:t>二、技术需求企业</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Style w:val="8"/>
          <w:rFonts w:ascii="仿宋" w:hAnsi="仿宋"/>
          <w:sz w:val="32"/>
          <w:szCs w:val="32"/>
        </w:rPr>
      </w:pPr>
      <w:r>
        <w:rPr>
          <w:rStyle w:val="8"/>
          <w:rFonts w:hint="eastAsia" w:ascii="仿宋" w:hAnsi="仿宋" w:eastAsia="仿宋" w:cs="仿宋"/>
          <w:sz w:val="32"/>
          <w:szCs w:val="32"/>
        </w:rPr>
        <w:t>中国铝业股份有限公司贵州分公司</w:t>
      </w:r>
    </w:p>
    <w:p>
      <w:pPr>
        <w:keepNext w:val="0"/>
        <w:keepLines w:val="0"/>
        <w:pageBreakBefore w:val="0"/>
        <w:widowControl w:val="0"/>
        <w:numPr>
          <w:numId w:val="0"/>
        </w:numPr>
        <w:kinsoku/>
        <w:wordWrap/>
        <w:overflowPunct/>
        <w:topLinePunct w:val="0"/>
        <w:autoSpaceDE/>
        <w:autoSpaceDN/>
        <w:bidi w:val="0"/>
        <w:adjustRightInd w:val="0"/>
        <w:snapToGrid w:val="0"/>
        <w:spacing w:line="560" w:lineRule="exact"/>
        <w:ind w:leftChars="0" w:right="0" w:rightChars="0" w:firstLine="640" w:firstLineChars="200"/>
        <w:textAlignment w:val="auto"/>
        <w:rPr>
          <w:rFonts w:ascii="Times New Roman" w:hAnsi="Times New Roman" w:eastAsia="黑体" w:cs="Times New Roman"/>
          <w:kern w:val="2"/>
          <w:sz w:val="32"/>
          <w:szCs w:val="32"/>
        </w:rPr>
      </w:pPr>
      <w:r>
        <w:rPr>
          <w:rFonts w:hint="eastAsia" w:ascii="Times New Roman" w:hAnsi="Times New Roman" w:eastAsia="黑体" w:cs="Times New Roman"/>
          <w:kern w:val="2"/>
          <w:sz w:val="32"/>
          <w:szCs w:val="32"/>
          <w:lang w:eastAsia="zh-CN"/>
        </w:rPr>
        <w:t>三</w:t>
      </w:r>
      <w:r>
        <w:rPr>
          <w:rFonts w:ascii="Times New Roman" w:hAnsi="Times New Roman" w:eastAsia="黑体" w:cs="Times New Roman"/>
          <w:kern w:val="2"/>
          <w:sz w:val="32"/>
          <w:szCs w:val="32"/>
        </w:rPr>
        <w:t>、需求方简介</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Style w:val="8"/>
          <w:rFonts w:ascii="仿宋" w:hAnsi="仿宋"/>
          <w:sz w:val="32"/>
          <w:szCs w:val="32"/>
        </w:rPr>
      </w:pPr>
      <w:r>
        <w:rPr>
          <w:rStyle w:val="8"/>
          <w:rFonts w:hint="eastAsia" w:ascii="仿宋" w:hAnsi="仿宋" w:eastAsia="仿宋" w:cs="仿宋"/>
          <w:sz w:val="32"/>
          <w:szCs w:val="32"/>
        </w:rPr>
        <w:t>中国铝业股份有限公司贵州分公司（简称“中铝贵州分公司”）是中国铝业股份有限公司在贵州的分支机构，成立于2002年4月19日。根据中铝集团部署，自2013年10月以来，中铝贵州分公司实施“三退三进”转型升级战略，将白云基地氧化铝（含热电）、电解铝、碳素产能永久性关停，在清镇基地组建新的混合所有制企业。目前，中铝贵州分公司保有矿山和合金化两个业务板块运营。铝土矿产能265万吨/年、合金化产能34.8万吨/年。</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Times New Roman" w:hAnsi="Times New Roman" w:eastAsia="黑体" w:cs="Times New Roman"/>
          <w:kern w:val="2"/>
          <w:sz w:val="32"/>
          <w:szCs w:val="32"/>
        </w:rPr>
      </w:pPr>
      <w:r>
        <w:rPr>
          <w:rFonts w:ascii="Times New Roman" w:hAnsi="Times New Roman" w:eastAsia="黑体" w:cs="Times New Roman"/>
          <w:kern w:val="2"/>
          <w:sz w:val="32"/>
          <w:szCs w:val="32"/>
        </w:rPr>
        <w:t>四、技术需求描述</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（一）技术难题</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Style w:val="8"/>
          <w:rFonts w:ascii="仿宋" w:hAnsi="仿宋" w:eastAsia="仿宋" w:cs="仿宋"/>
          <w:sz w:val="32"/>
          <w:szCs w:val="32"/>
        </w:rPr>
      </w:pPr>
      <w:r>
        <w:rPr>
          <w:rStyle w:val="8"/>
          <w:rFonts w:hint="eastAsia" w:ascii="仿宋" w:hAnsi="仿宋" w:eastAsia="仿宋" w:cs="仿宋"/>
          <w:sz w:val="32"/>
          <w:szCs w:val="32"/>
        </w:rPr>
        <w:t>8030铝合金电工圆铝杆广泛应用于民用与建筑低压配电领域，是一种安全、可靠、经济的导体。由8030 铝合金电工原铝杆生产的导线与铜导线相比，电导率是铜导线的61%，在相同载流量条件下直径是铜导线的 1.5 倍，而铝的密度仅为铜的30%左右。因此8030 铝合金导线具有重量轻、安装成本低、设备与电缆的摩擦小等特点，在民用和建筑领域的应用比铜导线有着明显的优势。但8030 电工圆铝杆的电导率和机械性能要求严格，由于其生产过程受原铝液成分波动大、金属和非金属夹杂物含量超标、析氢和缩孔严重、物理性能和机械性能相互制约等多种因素的影响，导致电工圆铝杆产品电导率、抗拉强度、延伸率等性能指标偏低，严重制约高强度、高导电率电工原铝杆产品质量的提升。</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（二）攻关内容</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 w:hAnsi="仿宋" w:eastAsia="仿宋" w:cs="仿宋"/>
          <w:sz w:val="32"/>
          <w:szCs w:val="32"/>
        </w:rPr>
      </w:pPr>
      <w:r>
        <w:rPr>
          <w:rFonts w:hint="eastAsia" w:ascii="仿宋" w:hAnsi="仿宋" w:eastAsia="仿宋" w:cs="仿宋"/>
          <w:sz w:val="32"/>
          <w:szCs w:val="32"/>
        </w:rPr>
        <w:t>项目针对企业目前8030电工圆铝杆生产过程中杂质含量的去除，通过精炼使其在精炼过程中有效降低杂质含量的方式方法，获得满足杂质精准控制要求的生产工艺。对浇铸过程中产生的外观缺陷进行精准控制研究，提高产品成品率。探索铝熔体微合金化和热处理条件对电工圆铝杆强度和导电率的影响规律。通过实验室研究理论指导，开展企业电工圆铝杆工业试生产测试，进一步获得性能稳定、工艺成熟的8030电工圆铝杆生产研发技术，指导生产。</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Times New Roman" w:hAnsi="Times New Roman" w:eastAsia="黑体" w:cs="Times New Roman"/>
          <w:kern w:val="2"/>
          <w:sz w:val="32"/>
          <w:szCs w:val="32"/>
        </w:rPr>
      </w:pPr>
      <w:r>
        <w:rPr>
          <w:rFonts w:ascii="Times New Roman" w:hAnsi="Times New Roman" w:eastAsia="黑体" w:cs="Times New Roman"/>
          <w:kern w:val="2"/>
          <w:sz w:val="32"/>
          <w:szCs w:val="32"/>
        </w:rPr>
        <w:t>五、考核指标</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（一）研发目标</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hint="eastAsia"/>
        </w:rPr>
      </w:pPr>
      <w:r>
        <w:rPr>
          <w:rStyle w:val="8"/>
          <w:rFonts w:hint="eastAsia" w:ascii="仿宋" w:hAnsi="仿宋" w:eastAsia="仿宋" w:cs="仿宋"/>
          <w:sz w:val="32"/>
          <w:szCs w:val="32"/>
        </w:rPr>
        <w:t>通过项目实施，完成8030铝合金电工圆铝杆化学成分的优化设计、熔体净化处理、工艺控制的研</w:t>
      </w:r>
      <w:r>
        <w:rPr>
          <w:rStyle w:val="8"/>
          <w:rFonts w:hint="eastAsia" w:ascii="仿宋" w:hAnsi="仿宋" w:eastAsia="仿宋" w:cs="仿宋"/>
          <w:sz w:val="32"/>
          <w:szCs w:val="32"/>
          <w:highlight w:val="none"/>
        </w:rPr>
        <w:t>究研发，获得稳定的电工圆铝杆生产工艺参数，形成产能</w:t>
      </w:r>
      <w:r>
        <w:rPr>
          <w:rStyle w:val="8"/>
          <w:rFonts w:ascii="仿宋" w:hAnsi="仿宋" w:eastAsia="仿宋" w:cs="仿宋"/>
          <w:sz w:val="32"/>
          <w:szCs w:val="32"/>
          <w:highlight w:val="none"/>
        </w:rPr>
        <w:t>2</w:t>
      </w:r>
      <w:r>
        <w:rPr>
          <w:rStyle w:val="8"/>
          <w:rFonts w:hint="eastAsia" w:ascii="仿宋" w:hAnsi="仿宋" w:eastAsia="仿宋" w:cs="仿宋"/>
          <w:sz w:val="32"/>
          <w:szCs w:val="32"/>
          <w:highlight w:val="none"/>
        </w:rPr>
        <w:t>万吨/年的工业化规模生产线一条，实现产业化生产，为下游目标</w:t>
      </w:r>
      <w:r>
        <w:rPr>
          <w:rStyle w:val="8"/>
          <w:rFonts w:hint="eastAsia" w:ascii="仿宋" w:hAnsi="仿宋" w:eastAsia="仿宋" w:cs="仿宋"/>
          <w:sz w:val="32"/>
          <w:szCs w:val="32"/>
        </w:rPr>
        <w:t>客户保质保量提供高质量的8030电工圆</w:t>
      </w:r>
      <w:r>
        <w:rPr>
          <w:rStyle w:val="8"/>
          <w:rFonts w:hint="eastAsia" w:ascii="仿宋" w:hAnsi="仿宋" w:eastAsia="仿宋" w:cs="仿宋"/>
          <w:sz w:val="32"/>
          <w:szCs w:val="32"/>
          <w:highlight w:val="none"/>
        </w:rPr>
        <w:t>铝杆产品；产生经济效益</w:t>
      </w:r>
      <w:r>
        <w:rPr>
          <w:rStyle w:val="8"/>
          <w:rFonts w:ascii="仿宋" w:hAnsi="仿宋" w:eastAsia="仿宋" w:cs="仿宋"/>
          <w:sz w:val="32"/>
          <w:szCs w:val="32"/>
          <w:highlight w:val="none"/>
        </w:rPr>
        <w:t>8</w:t>
      </w:r>
      <w:r>
        <w:rPr>
          <w:rStyle w:val="8"/>
          <w:rFonts w:hint="eastAsia" w:ascii="仿宋" w:hAnsi="仿宋" w:eastAsia="仿宋" w:cs="仿宋"/>
          <w:sz w:val="32"/>
          <w:szCs w:val="32"/>
          <w:highlight w:val="none"/>
        </w:rPr>
        <w:t>00万元；同时通过技术研发，培养一批科技</w:t>
      </w:r>
      <w:r>
        <w:rPr>
          <w:rStyle w:val="8"/>
          <w:rFonts w:hint="eastAsia" w:ascii="仿宋" w:hAnsi="仿宋" w:eastAsia="仿宋" w:cs="仿宋"/>
          <w:sz w:val="32"/>
          <w:szCs w:val="32"/>
        </w:rPr>
        <w:t>骨干，提高企业自主创新能力。</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（二）技术指标参数</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560"/>
        <w:textAlignment w:val="auto"/>
        <w:rPr>
          <w:rStyle w:val="8"/>
          <w:rFonts w:ascii="仿宋" w:hAnsi="仿宋" w:eastAsia="仿宋" w:cs="仿宋"/>
          <w:sz w:val="32"/>
          <w:szCs w:val="32"/>
        </w:rPr>
      </w:pPr>
      <w:r>
        <w:rPr>
          <w:rStyle w:val="8"/>
          <w:rFonts w:hint="eastAsia" w:ascii="仿宋" w:hAnsi="仿宋" w:eastAsia="仿宋" w:cs="仿宋"/>
          <w:sz w:val="32"/>
          <w:szCs w:val="32"/>
          <w:lang w:val="en-US"/>
        </w:rPr>
        <w:t>1.</w:t>
      </w:r>
      <w:r>
        <w:rPr>
          <w:rStyle w:val="8"/>
          <w:rFonts w:hint="eastAsia" w:ascii="仿宋" w:hAnsi="仿宋" w:eastAsia="仿宋" w:cs="仿宋"/>
          <w:sz w:val="32"/>
          <w:szCs w:val="32"/>
        </w:rPr>
        <w:t>熔体精炼除杂过程，获得有效去除金属和非金属夹杂物的优化精炼剂配方，使杂质的有效去除率提高5%-10%；</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560"/>
        <w:textAlignment w:val="auto"/>
        <w:rPr>
          <w:rStyle w:val="8"/>
          <w:rFonts w:hint="eastAsia" w:ascii="仿宋" w:hAnsi="仿宋" w:eastAsia="仿宋" w:cs="仿宋"/>
          <w:sz w:val="32"/>
          <w:szCs w:val="32"/>
          <w:highlight w:val="none"/>
        </w:rPr>
      </w:pPr>
      <w:r>
        <w:rPr>
          <w:rStyle w:val="8"/>
          <w:rFonts w:hint="eastAsia" w:ascii="仿宋" w:hAnsi="仿宋" w:eastAsia="仿宋" w:cs="仿宋"/>
          <w:sz w:val="32"/>
          <w:szCs w:val="32"/>
          <w:highlight w:val="none"/>
          <w:lang w:val="en-US"/>
        </w:rPr>
        <w:t>2.</w:t>
      </w:r>
      <w:r>
        <w:rPr>
          <w:rStyle w:val="8"/>
          <w:rFonts w:hint="eastAsia" w:ascii="仿宋" w:hAnsi="仿宋" w:eastAsia="仿宋" w:cs="仿宋"/>
          <w:sz w:val="32"/>
          <w:szCs w:val="32"/>
          <w:highlight w:val="none"/>
        </w:rPr>
        <w:t>通过除气和浇铸工艺参数优化，减少缩孔，针眼和起皮等缺陷，使产品的成品率提高2%-3%；</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560"/>
        <w:textAlignment w:val="auto"/>
        <w:rPr>
          <w:rStyle w:val="8"/>
          <w:rFonts w:ascii="仿宋" w:hAnsi="仿宋" w:eastAsia="仿宋" w:cs="仿宋"/>
          <w:sz w:val="32"/>
          <w:szCs w:val="32"/>
        </w:rPr>
      </w:pPr>
      <w:r>
        <w:rPr>
          <w:rStyle w:val="8"/>
          <w:rFonts w:hint="eastAsia" w:ascii="仿宋" w:hAnsi="仿宋" w:eastAsia="仿宋" w:cs="仿宋"/>
          <w:sz w:val="32"/>
          <w:szCs w:val="32"/>
          <w:highlight w:val="none"/>
          <w:lang w:val="en-US"/>
        </w:rPr>
        <w:t>3.</w:t>
      </w:r>
      <w:r>
        <w:rPr>
          <w:rStyle w:val="8"/>
          <w:rFonts w:hint="eastAsia" w:ascii="仿宋" w:hAnsi="仿宋" w:eastAsia="仿宋" w:cs="仿宋"/>
          <w:sz w:val="32"/>
          <w:szCs w:val="32"/>
          <w:highlight w:val="none"/>
        </w:rPr>
        <w:t>电工圆铝杆产品性能达到：抗拉</w:t>
      </w:r>
      <w:r>
        <w:rPr>
          <w:rStyle w:val="8"/>
          <w:rFonts w:hint="eastAsia" w:ascii="仿宋" w:hAnsi="仿宋" w:eastAsia="仿宋" w:cs="仿宋"/>
          <w:sz w:val="32"/>
          <w:szCs w:val="32"/>
        </w:rPr>
        <w:t>强度110-150MPa、伸长率不小于10%、电阻率（20℃）不大于29.50nΩ·m。</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（三）技术攻关时限要求</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在揭榜协议及任务书签订后2年内完成。</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Times New Roman" w:hAnsi="Times New Roman" w:eastAsia="黑体" w:cs="Times New Roman"/>
          <w:kern w:val="2"/>
          <w:sz w:val="32"/>
          <w:szCs w:val="32"/>
        </w:rPr>
      </w:pPr>
      <w:r>
        <w:rPr>
          <w:rFonts w:ascii="Times New Roman" w:hAnsi="Times New Roman" w:eastAsia="黑体" w:cs="Times New Roman"/>
          <w:kern w:val="2"/>
          <w:sz w:val="32"/>
          <w:szCs w:val="32"/>
        </w:rPr>
        <w:t>六、对揭榜方要求</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（一）揭榜方应具有以下资质和能力</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pPr>
      <w:r>
        <w:rPr>
          <w:rFonts w:ascii="仿宋" w:hAnsi="仿宋" w:eastAsia="仿宋" w:cs="仿宋"/>
          <w:color w:val="000000" w:themeColor="text1"/>
          <w:sz w:val="32"/>
          <w:szCs w:val="32"/>
          <w14:textFill>
            <w14:solidFill>
              <w14:schemeClr w14:val="tx1"/>
            </w14:solidFill>
          </w14:textFill>
        </w:rPr>
        <w:t>揭榜方</w:t>
      </w:r>
      <w:r>
        <w:rPr>
          <w:rFonts w:hint="eastAsia" w:ascii="仿宋" w:hAnsi="仿宋" w:eastAsia="仿宋" w:cs="仿宋"/>
          <w:color w:val="000000" w:themeColor="text1"/>
          <w:sz w:val="32"/>
          <w:szCs w:val="32"/>
          <w14:textFill>
            <w14:solidFill>
              <w14:schemeClr w14:val="tx1"/>
            </w14:solidFill>
          </w14:textFill>
        </w:rPr>
        <w:t>在铝冶炼</w:t>
      </w:r>
      <w:bookmarkStart w:id="0" w:name="_GoBack"/>
      <w:bookmarkEnd w:id="0"/>
      <w:r>
        <w:rPr>
          <w:rFonts w:hint="eastAsia" w:ascii="仿宋" w:hAnsi="仿宋" w:eastAsia="仿宋" w:cs="仿宋"/>
          <w:color w:val="000000" w:themeColor="text1"/>
          <w:sz w:val="32"/>
          <w:szCs w:val="32"/>
          <w14:textFill>
            <w14:solidFill>
              <w14:schemeClr w14:val="tx1"/>
            </w14:solidFill>
          </w14:textFill>
        </w:rPr>
        <w:t>和铝加工方面</w:t>
      </w:r>
      <w:r>
        <w:rPr>
          <w:rFonts w:hint="eastAsia" w:ascii="仿宋" w:hAnsi="仿宋" w:eastAsia="仿宋" w:cs="仿宋"/>
          <w:color w:val="000000" w:themeColor="text1"/>
          <w:sz w:val="32"/>
          <w:szCs w:val="32"/>
          <w:lang w:val="en-US" w:eastAsia="zh-CN"/>
          <w14:textFill>
            <w14:solidFill>
              <w14:schemeClr w14:val="tx1"/>
            </w14:solidFill>
          </w14:textFill>
        </w:rPr>
        <w:t>具备</w:t>
      </w:r>
      <w:r>
        <w:rPr>
          <w:rFonts w:ascii="仿宋" w:hAnsi="仿宋" w:eastAsia="仿宋" w:cs="仿宋"/>
          <w:color w:val="000000" w:themeColor="text1"/>
          <w:sz w:val="32"/>
          <w:szCs w:val="32"/>
          <w14:textFill>
            <w14:solidFill>
              <w14:schemeClr w14:val="tx1"/>
            </w14:solidFill>
          </w14:textFill>
        </w:rPr>
        <w:t>相关研究</w:t>
      </w:r>
      <w:r>
        <w:rPr>
          <w:rFonts w:hint="eastAsia" w:ascii="仿宋" w:hAnsi="仿宋" w:eastAsia="仿宋" w:cs="仿宋"/>
          <w:color w:val="000000" w:themeColor="text1"/>
          <w:sz w:val="32"/>
          <w:szCs w:val="32"/>
          <w:lang w:val="en-US" w:eastAsia="zh-CN"/>
          <w14:textFill>
            <w14:solidFill>
              <w14:schemeClr w14:val="tx1"/>
            </w14:solidFill>
          </w14:textFill>
        </w:rPr>
        <w:t>基础</w:t>
      </w:r>
      <w:r>
        <w:rPr>
          <w:rFonts w:hint="eastAsia" w:ascii="仿宋" w:hAnsi="仿宋" w:eastAsia="仿宋" w:cs="仿宋"/>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（二）产权归属</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pPr>
      <w:r>
        <w:rPr>
          <w:rFonts w:hint="eastAsia" w:ascii="仿宋" w:hAnsi="仿宋" w:eastAsia="仿宋" w:cs="仿宋"/>
          <w:color w:val="000000" w:themeColor="text1"/>
          <w:sz w:val="32"/>
          <w:szCs w:val="32"/>
          <w14:textFill>
            <w14:solidFill>
              <w14:schemeClr w14:val="tx1"/>
            </w14:solidFill>
          </w14:textFill>
        </w:rPr>
        <w:t>项目实施过程中知识产权归双方共同拥有。</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Verdana">
    <w:altName w:val="DejaVu Sans"/>
    <w:panose1 w:val="020B0604030504040204"/>
    <w:charset w:val="00"/>
    <w:family w:val="swiss"/>
    <w:pitch w:val="default"/>
    <w:sig w:usb0="00000000" w:usb1="00000000" w:usb2="00000010"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_GB2312">
    <w:altName w:val="方正仿宋_GBK"/>
    <w:panose1 w:val="02010609030101010101"/>
    <w:charset w:val="86"/>
    <w:family w:val="auto"/>
    <w:pitch w:val="default"/>
    <w:sig w:usb0="00000000" w:usb1="00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楷体_GB2312">
    <w:altName w:val="方正楷体_GBK"/>
    <w:panose1 w:val="00000000000000000000"/>
    <w:charset w:val="86"/>
    <w:family w:val="auto"/>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jc w:val="left"/>
      <w:rPr>
        <w:rFonts w:ascii="Times New Roman" w:hAnsi="Times New Roman" w:cs="Times New Roman"/>
        <w:kern w:val="2"/>
        <w:sz w:val="18"/>
      </w:rPr>
    </w:pPr>
    <w:r>
      <w:rPr>
        <w:rFonts w:ascii="Times New Roman" w:hAnsi="Times New Roman" w:cs="Times New Roman"/>
        <w:kern w:val="2"/>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534035" cy="230505"/>
              <wp:effectExtent l="0" t="0" r="0" b="1905"/>
              <wp:wrapNone/>
              <wp:docPr id="1" name="文本框 1"/>
              <wp:cNvGraphicFramePr/>
              <a:graphic xmlns:a="http://schemas.openxmlformats.org/drawingml/2006/main">
                <a:graphicData uri="http://schemas.microsoft.com/office/word/2010/wordprocessingShape">
                  <wps:wsp>
                    <wps:cNvSpPr txBox="true">
                      <a:spLocks noChangeArrowheads="true"/>
                    </wps:cNvSpPr>
                    <wps:spPr bwMode="auto">
                      <a:xfrm>
                        <a:off x="0" y="0"/>
                        <a:ext cx="534035" cy="230505"/>
                      </a:xfrm>
                      <a:prstGeom prst="rect">
                        <a:avLst/>
                      </a:prstGeom>
                      <a:noFill/>
                      <a:ln>
                        <a:noFill/>
                      </a:ln>
                      <a:effectLst/>
                    </wps:spPr>
                    <wps:txbx>
                      <w:txbxContent>
                        <w:p>
                          <w:pPr>
                            <w:snapToGrid w:val="0"/>
                            <w:rPr>
                              <w:rFonts w:hint="eastAsia" w:ascii="仿宋" w:hAnsi="仿宋" w:eastAsia="仿宋" w:cs="仿宋"/>
                              <w:kern w:val="2"/>
                              <w:sz w:val="24"/>
                              <w:szCs w:val="24"/>
                            </w:rPr>
                          </w:pPr>
                          <w:r>
                            <w:rPr>
                              <w:rFonts w:hint="eastAsia" w:ascii="仿宋" w:hAnsi="仿宋" w:eastAsia="仿宋" w:cs="仿宋"/>
                              <w:kern w:val="2"/>
                              <w:sz w:val="24"/>
                              <w:szCs w:val="24"/>
                            </w:rPr>
                            <w:t xml:space="preserve">— </w:t>
                          </w:r>
                          <w:r>
                            <w:rPr>
                              <w:rFonts w:hint="eastAsia" w:ascii="仿宋" w:hAnsi="仿宋" w:eastAsia="仿宋" w:cs="仿宋"/>
                              <w:kern w:val="2"/>
                              <w:sz w:val="24"/>
                              <w:szCs w:val="24"/>
                            </w:rPr>
                            <w:fldChar w:fldCharType="begin"/>
                          </w:r>
                          <w:r>
                            <w:rPr>
                              <w:rFonts w:hint="eastAsia" w:ascii="仿宋" w:hAnsi="仿宋" w:eastAsia="仿宋" w:cs="仿宋"/>
                              <w:kern w:val="2"/>
                              <w:sz w:val="24"/>
                              <w:szCs w:val="24"/>
                            </w:rPr>
                            <w:instrText xml:space="preserve"> PAGE  \* MERGEFORMAT </w:instrText>
                          </w:r>
                          <w:r>
                            <w:rPr>
                              <w:rFonts w:hint="eastAsia" w:ascii="仿宋" w:hAnsi="仿宋" w:eastAsia="仿宋" w:cs="仿宋"/>
                              <w:kern w:val="2"/>
                              <w:sz w:val="24"/>
                              <w:szCs w:val="24"/>
                            </w:rPr>
                            <w:fldChar w:fldCharType="separate"/>
                          </w:r>
                          <w:r>
                            <w:rPr>
                              <w:rFonts w:hint="eastAsia" w:ascii="仿宋" w:hAnsi="仿宋" w:eastAsia="仿宋" w:cs="仿宋"/>
                              <w:kern w:val="2"/>
                              <w:sz w:val="24"/>
                              <w:szCs w:val="24"/>
                            </w:rPr>
                            <w:t>1</w:t>
                          </w:r>
                          <w:r>
                            <w:rPr>
                              <w:rFonts w:hint="eastAsia" w:ascii="仿宋" w:hAnsi="仿宋" w:eastAsia="仿宋" w:cs="仿宋"/>
                              <w:kern w:val="2"/>
                              <w:sz w:val="24"/>
                              <w:szCs w:val="24"/>
                            </w:rPr>
                            <w:fldChar w:fldCharType="end"/>
                          </w:r>
                          <w:r>
                            <w:rPr>
                              <w:rFonts w:hint="eastAsia" w:ascii="仿宋" w:hAnsi="仿宋" w:eastAsia="仿宋" w:cs="仿宋"/>
                              <w:kern w:val="2"/>
                              <w:sz w:val="24"/>
                              <w:szCs w:val="24"/>
                            </w:rPr>
                            <w:t xml:space="preserve"> —</w:t>
                          </w:r>
                        </w:p>
                      </w:txbxContent>
                    </wps:txbx>
                    <wps:bodyPr rot="0" vert="horz" wrap="none" lIns="0" tIns="0" rIns="0" bIns="0" anchor="t" anchorCtr="false" upright="true">
                      <a:spAutoFit/>
                    </wps:bodyPr>
                  </wps:wsp>
                </a:graphicData>
              </a:graphic>
            </wp:anchor>
          </w:drawing>
        </mc:Choice>
        <mc:Fallback>
          <w:pict>
            <v:shape id="_x0000_s1026" o:spid="_x0000_s1026" o:spt="202" type="#_x0000_t202" style="position:absolute;left:0pt;margin-top:0pt;height:18.15pt;width:42.05pt;mso-position-horizontal:outside;mso-position-horizontal-relative:margin;mso-wrap-style:none;z-index:251659264;mso-width-relative:page;mso-height-relative:page;" filled="f" stroked="f" coordsize="21600,21600" o:gfxdata="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WAAAAZHJzL1BLAQIUABQAAAAIAIdO4kDw9kx90QAAAAMBAAAPAAAAAAAAAAEAIAAAADgA&#10;AABkcnMvZG93bnJldi54bWxQSwECFAAUAAAACACHTuJAoCT6G/oBAADPAwAADgAAAAAAAAABACAA&#10;AAA2AQAAZHJzL2Uyb0RvYy54bWxQSwUGAAAAAAYABgBZAQAAogUAAAAA&#10;">
              <v:fill on="f" focussize="0,0"/>
              <v:stroke on="f"/>
              <v:imagedata o:title=""/>
              <o:lock v:ext="edit" aspectratio="f"/>
              <v:textbox inset="0mm,0mm,0mm,0mm" style="mso-fit-shape-to-text:t;">
                <w:txbxContent>
                  <w:p>
                    <w:pPr>
                      <w:snapToGrid w:val="0"/>
                      <w:rPr>
                        <w:rFonts w:hint="eastAsia" w:ascii="仿宋" w:hAnsi="仿宋" w:eastAsia="仿宋" w:cs="仿宋"/>
                        <w:kern w:val="2"/>
                        <w:sz w:val="24"/>
                        <w:szCs w:val="24"/>
                      </w:rPr>
                    </w:pPr>
                    <w:r>
                      <w:rPr>
                        <w:rFonts w:hint="eastAsia" w:ascii="仿宋" w:hAnsi="仿宋" w:eastAsia="仿宋" w:cs="仿宋"/>
                        <w:kern w:val="2"/>
                        <w:sz w:val="24"/>
                        <w:szCs w:val="24"/>
                      </w:rPr>
                      <w:t xml:space="preserve">— </w:t>
                    </w:r>
                    <w:r>
                      <w:rPr>
                        <w:rFonts w:hint="eastAsia" w:ascii="仿宋" w:hAnsi="仿宋" w:eastAsia="仿宋" w:cs="仿宋"/>
                        <w:kern w:val="2"/>
                        <w:sz w:val="24"/>
                        <w:szCs w:val="24"/>
                      </w:rPr>
                      <w:fldChar w:fldCharType="begin"/>
                    </w:r>
                    <w:r>
                      <w:rPr>
                        <w:rFonts w:hint="eastAsia" w:ascii="仿宋" w:hAnsi="仿宋" w:eastAsia="仿宋" w:cs="仿宋"/>
                        <w:kern w:val="2"/>
                        <w:sz w:val="24"/>
                        <w:szCs w:val="24"/>
                      </w:rPr>
                      <w:instrText xml:space="preserve"> PAGE  \* MERGEFORMAT </w:instrText>
                    </w:r>
                    <w:r>
                      <w:rPr>
                        <w:rFonts w:hint="eastAsia" w:ascii="仿宋" w:hAnsi="仿宋" w:eastAsia="仿宋" w:cs="仿宋"/>
                        <w:kern w:val="2"/>
                        <w:sz w:val="24"/>
                        <w:szCs w:val="24"/>
                      </w:rPr>
                      <w:fldChar w:fldCharType="separate"/>
                    </w:r>
                    <w:r>
                      <w:rPr>
                        <w:rFonts w:hint="eastAsia" w:ascii="仿宋" w:hAnsi="仿宋" w:eastAsia="仿宋" w:cs="仿宋"/>
                        <w:kern w:val="2"/>
                        <w:sz w:val="24"/>
                        <w:szCs w:val="24"/>
                      </w:rPr>
                      <w:t>1</w:t>
                    </w:r>
                    <w:r>
                      <w:rPr>
                        <w:rFonts w:hint="eastAsia" w:ascii="仿宋" w:hAnsi="仿宋" w:eastAsia="仿宋" w:cs="仿宋"/>
                        <w:kern w:val="2"/>
                        <w:sz w:val="24"/>
                        <w:szCs w:val="24"/>
                      </w:rPr>
                      <w:fldChar w:fldCharType="end"/>
                    </w:r>
                    <w:r>
                      <w:rPr>
                        <w:rFonts w:hint="eastAsia" w:ascii="仿宋" w:hAnsi="仿宋" w:eastAsia="仿宋" w:cs="仿宋"/>
                        <w:kern w:val="2"/>
                        <w:sz w:val="24"/>
                        <w:szCs w:val="24"/>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auto" w:sz="0" w:space="1"/>
        <w:left w:val="none" w:color="auto" w:sz="0" w:space="4"/>
        <w:bottom w:val="none" w:color="auto" w:sz="0" w:space="1"/>
        <w:right w:val="none" w:color="auto" w:sz="0" w:space="4"/>
      </w:pBdr>
      <w:snapToGrid w:val="0"/>
      <w:rPr>
        <w:rFonts w:ascii="Times New Roman" w:hAnsi="Times New Roman" w:cs="Times New Roman"/>
        <w:kern w:val="2"/>
        <w:sz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VhMGEwYTJhYjYxMzJiZTQ0ZTVmOGQyOWQ3Yzc4NWEifQ=="/>
  </w:docVars>
  <w:rsids>
    <w:rsidRoot w:val="009C75EC"/>
    <w:rsid w:val="00020B01"/>
    <w:rsid w:val="0007182E"/>
    <w:rsid w:val="00084EC4"/>
    <w:rsid w:val="001A3A1E"/>
    <w:rsid w:val="001B6F9D"/>
    <w:rsid w:val="001C6234"/>
    <w:rsid w:val="001C785C"/>
    <w:rsid w:val="001E66D5"/>
    <w:rsid w:val="0024422E"/>
    <w:rsid w:val="002D5B23"/>
    <w:rsid w:val="002E4FE6"/>
    <w:rsid w:val="002E6A04"/>
    <w:rsid w:val="003378CA"/>
    <w:rsid w:val="0037045B"/>
    <w:rsid w:val="00381126"/>
    <w:rsid w:val="003F340C"/>
    <w:rsid w:val="00445F72"/>
    <w:rsid w:val="004565AC"/>
    <w:rsid w:val="00471171"/>
    <w:rsid w:val="004B28B3"/>
    <w:rsid w:val="004C4F50"/>
    <w:rsid w:val="005058D7"/>
    <w:rsid w:val="00515AA0"/>
    <w:rsid w:val="0052772C"/>
    <w:rsid w:val="005305E9"/>
    <w:rsid w:val="00531BEB"/>
    <w:rsid w:val="00531D76"/>
    <w:rsid w:val="005A22F6"/>
    <w:rsid w:val="006544D6"/>
    <w:rsid w:val="00662B78"/>
    <w:rsid w:val="00663C04"/>
    <w:rsid w:val="0068372F"/>
    <w:rsid w:val="007C17A4"/>
    <w:rsid w:val="007C54A7"/>
    <w:rsid w:val="008478D2"/>
    <w:rsid w:val="008803BC"/>
    <w:rsid w:val="008A422F"/>
    <w:rsid w:val="008B438B"/>
    <w:rsid w:val="009262FF"/>
    <w:rsid w:val="00926C15"/>
    <w:rsid w:val="00934851"/>
    <w:rsid w:val="0094605D"/>
    <w:rsid w:val="00956D94"/>
    <w:rsid w:val="009A2E7E"/>
    <w:rsid w:val="009C75EC"/>
    <w:rsid w:val="00A03051"/>
    <w:rsid w:val="00A86F9E"/>
    <w:rsid w:val="00AD3032"/>
    <w:rsid w:val="00B045EF"/>
    <w:rsid w:val="00B371F1"/>
    <w:rsid w:val="00B66D93"/>
    <w:rsid w:val="00BD1B72"/>
    <w:rsid w:val="00BD4F47"/>
    <w:rsid w:val="00BE0EA4"/>
    <w:rsid w:val="00C026E9"/>
    <w:rsid w:val="00C74482"/>
    <w:rsid w:val="00CE36A0"/>
    <w:rsid w:val="00D135E9"/>
    <w:rsid w:val="00D42C63"/>
    <w:rsid w:val="00D479C3"/>
    <w:rsid w:val="00D50C6C"/>
    <w:rsid w:val="00D51091"/>
    <w:rsid w:val="00D63B22"/>
    <w:rsid w:val="00D7509A"/>
    <w:rsid w:val="00D86E22"/>
    <w:rsid w:val="00D9311E"/>
    <w:rsid w:val="00DA5D9A"/>
    <w:rsid w:val="00DE7813"/>
    <w:rsid w:val="00DF393C"/>
    <w:rsid w:val="00E21AB4"/>
    <w:rsid w:val="00ED34A6"/>
    <w:rsid w:val="00F13D67"/>
    <w:rsid w:val="00F76386"/>
    <w:rsid w:val="0367592F"/>
    <w:rsid w:val="0C4448E1"/>
    <w:rsid w:val="0FE168C6"/>
    <w:rsid w:val="15DB35DD"/>
    <w:rsid w:val="175E0D26"/>
    <w:rsid w:val="1790019C"/>
    <w:rsid w:val="1C231A28"/>
    <w:rsid w:val="230E75B5"/>
    <w:rsid w:val="29F60A01"/>
    <w:rsid w:val="2DC046A1"/>
    <w:rsid w:val="2FAA410D"/>
    <w:rsid w:val="30DA5678"/>
    <w:rsid w:val="35EC5749"/>
    <w:rsid w:val="407E7B8C"/>
    <w:rsid w:val="479E3B1A"/>
    <w:rsid w:val="55AC37E9"/>
    <w:rsid w:val="590C4A99"/>
    <w:rsid w:val="676132D7"/>
    <w:rsid w:val="6FF79783"/>
    <w:rsid w:val="EBCB0067"/>
    <w:rsid w:val="FDBF5C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宋体" w:cs="宋体"/>
      <w:color w:val="000000"/>
      <w:sz w:val="24"/>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lock Text"/>
    <w:basedOn w:val="1"/>
    <w:semiHidden/>
    <w:unhideWhenUsed/>
    <w:qFormat/>
    <w:uiPriority w:val="99"/>
    <w:pPr>
      <w:spacing w:after="120"/>
      <w:ind w:left="1440" w:leftChars="700" w:right="1440" w:rightChars="700"/>
    </w:p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tabs>
        <w:tab w:val="center" w:pos="4153"/>
        <w:tab w:val="right" w:pos="8306"/>
      </w:tabs>
      <w:snapToGrid w:val="0"/>
      <w:jc w:val="center"/>
    </w:pPr>
    <w:rPr>
      <w:sz w:val="18"/>
      <w:szCs w:val="18"/>
    </w:rPr>
  </w:style>
  <w:style w:type="paragraph" w:customStyle="1" w:styleId="7">
    <w:name w:val="Char Char Char Char Char Char Char"/>
    <w:basedOn w:val="1"/>
    <w:qFormat/>
    <w:uiPriority w:val="0"/>
    <w:pPr>
      <w:widowControl/>
      <w:spacing w:after="160" w:line="240" w:lineRule="exact"/>
      <w:jc w:val="left"/>
    </w:pPr>
    <w:rPr>
      <w:rFonts w:ascii="Arial" w:hAnsi="Arial" w:eastAsia="Times New Roman" w:cs="Verdana"/>
      <w:b/>
      <w:color w:val="auto"/>
      <w:lang w:eastAsia="en-US"/>
    </w:rPr>
  </w:style>
  <w:style w:type="character" w:customStyle="1" w:styleId="8">
    <w:name w:val="NormalCharacter"/>
    <w:semiHidden/>
    <w:qFormat/>
    <w:uiPriority w:val="0"/>
    <w:rPr>
      <w:rFonts w:ascii="Calibri" w:hAnsi="Calibri"/>
      <w:kern w:val="2"/>
      <w:sz w:val="21"/>
      <w:szCs w:val="24"/>
      <w:lang w:val="en-US" w:eastAsia="zh-CN" w:bidi="ar-SA"/>
    </w:rPr>
  </w:style>
  <w:style w:type="paragraph" w:styleId="9">
    <w:name w:val="List Paragraph"/>
    <w:basedOn w:val="1"/>
    <w:unhideWhenUsed/>
    <w:qFormat/>
    <w:uiPriority w:val="99"/>
    <w:pPr>
      <w:ind w:firstLine="420" w:firstLineChars="200"/>
    </w:pPr>
  </w:style>
  <w:style w:type="paragraph" w:customStyle="1" w:styleId="10">
    <w:name w:val="列出段落"/>
    <w:basedOn w:val="1"/>
    <w:unhideWhenUsed/>
    <w:qFormat/>
    <w:uiPriority w:val="99"/>
    <w:pPr>
      <w:ind w:firstLine="420" w:firstLineChars="200"/>
    </w:pPr>
  </w:style>
  <w:style w:type="character" w:customStyle="1" w:styleId="11">
    <w:name w:val="页眉 字符"/>
    <w:basedOn w:val="6"/>
    <w:link w:val="4"/>
    <w:qFormat/>
    <w:uiPriority w:val="99"/>
    <w:rPr>
      <w:rFonts w:ascii="宋体" w:hAnsi="宋体" w:cs="宋体"/>
      <w:color w:val="000000"/>
      <w:sz w:val="18"/>
      <w:szCs w:val="18"/>
    </w:rPr>
  </w:style>
  <w:style w:type="character" w:customStyle="1" w:styleId="12">
    <w:name w:val="页脚 字符"/>
    <w:basedOn w:val="6"/>
    <w:link w:val="3"/>
    <w:qFormat/>
    <w:uiPriority w:val="99"/>
    <w:rPr>
      <w:rFonts w:ascii="宋体" w:hAnsi="宋体" w:cs="宋体"/>
      <w:color w:val="000000"/>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205</Words>
  <Characters>1175</Characters>
  <Lines>9</Lines>
  <Paragraphs>2</Paragraphs>
  <TotalTime>1</TotalTime>
  <ScaleCrop>false</ScaleCrop>
  <LinksUpToDate>false</LinksUpToDate>
  <CharactersWithSpaces>1378</CharactersWithSpaces>
  <Application>WPS Office_11.8.2.1111_F1E327BC-269C-435d-A152-05C5408002CA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2024-03-20T01:02:00Z</dcterms:created>
  <dc:creator>马春丽</dc:creator>
  <cp:lastModifiedBy>ysgz</cp:lastModifiedBy>
  <dcterms:modified xsi:type="dcterms:W3CDTF">2024-04-19T11:02:18Z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2052-11.8.2.1111</vt:lpwstr>
  </property>
  <property fmtid="{D5CDD505-2E9C-101B-9397-08002B2CF9AE}" pid="3" name="ICV">
    <vt:lpwstr>7E540A43D54947F189AB15A911791B3D_13</vt:lpwstr>
  </property>
</Properties>
</file>